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CF3C86" w14:textId="385CBF09" w:rsidR="00FE651B" w:rsidRPr="00FE651B" w:rsidRDefault="00FE651B" w:rsidP="00FE651B">
      <w:pPr>
        <w:spacing w:after="120" w:line="288" w:lineRule="atLeast"/>
        <w:textAlignment w:val="baseline"/>
        <w:outlineLvl w:val="0"/>
        <w:rPr>
          <w:rFonts w:ascii="Helvetica" w:eastAsia="Times New Roman" w:hAnsi="Helvetica" w:cs="Helvetica"/>
          <w:b/>
          <w:bCs/>
          <w:color w:val="222222"/>
          <w:kern w:val="36"/>
          <w:sz w:val="42"/>
          <w:szCs w:val="42"/>
          <w:lang w:eastAsia="en-GB"/>
        </w:rPr>
      </w:pPr>
      <w:bookmarkStart w:id="0" w:name="_GoBack"/>
      <w:r>
        <w:rPr>
          <w:noProof/>
        </w:rPr>
        <w:drawing>
          <wp:anchor distT="0" distB="0" distL="114300" distR="114300" simplePos="0" relativeHeight="251658240" behindDoc="0" locked="0" layoutInCell="1" allowOverlap="1" wp14:anchorId="3D877455" wp14:editId="591984F3">
            <wp:simplePos x="0" y="0"/>
            <wp:positionH relativeFrom="margin">
              <wp:align>left</wp:align>
            </wp:positionH>
            <wp:positionV relativeFrom="paragraph">
              <wp:posOffset>380365</wp:posOffset>
            </wp:positionV>
            <wp:extent cx="4635500" cy="4307205"/>
            <wp:effectExtent l="0" t="0" r="0" b="0"/>
            <wp:wrapSquare wrapText="bothSides"/>
            <wp:docPr id="2" name="Picture 2" descr="http://www.scalingtheheights.com/wp-content/uploads/2014/05/Curriculum-graph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scalingtheheights.com/wp-content/uploads/2014/05/Curriculum-graphic.jpg"/>
                    <pic:cNvPicPr>
                      <a:picLocks noChangeAspect="1" noChangeArrowheads="1"/>
                    </pic:cNvPicPr>
                  </pic:nvPicPr>
                  <pic:blipFill rotWithShape="1">
                    <a:blip r:embed="rId4">
                      <a:extLst>
                        <a:ext uri="{28A0092B-C50C-407E-A947-70E740481C1C}">
                          <a14:useLocalDpi xmlns:a14="http://schemas.microsoft.com/office/drawing/2010/main" val="0"/>
                        </a:ext>
                      </a:extLst>
                    </a:blip>
                    <a:srcRect l="25371" t="11031" r="27654" b="11364"/>
                    <a:stretch/>
                  </pic:blipFill>
                  <pic:spPr bwMode="auto">
                    <a:xfrm>
                      <a:off x="0" y="0"/>
                      <a:ext cx="4635500" cy="43072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End w:id="0"/>
      <w:r w:rsidRPr="00FE651B">
        <w:rPr>
          <w:rFonts w:ascii="Helvetica" w:eastAsia="Times New Roman" w:hAnsi="Helvetica" w:cs="Helvetica"/>
          <w:b/>
          <w:bCs/>
          <w:color w:val="222222"/>
          <w:kern w:val="36"/>
          <w:sz w:val="42"/>
          <w:szCs w:val="42"/>
          <w:lang w:eastAsia="en-GB"/>
        </w:rPr>
        <w:t>Curriculum</w:t>
      </w:r>
    </w:p>
    <w:p w14:paraId="7E51CF32" w14:textId="319B92D5" w:rsidR="00FE651B" w:rsidRPr="00FE651B" w:rsidRDefault="00FE651B" w:rsidP="00FE651B">
      <w:pPr>
        <w:spacing w:after="0" w:line="360" w:lineRule="atLeast"/>
        <w:textAlignment w:val="baseline"/>
        <w:rPr>
          <w:rFonts w:ascii="Helvetica" w:eastAsia="Times New Roman" w:hAnsi="Helvetica" w:cs="Helvetica"/>
          <w:color w:val="555555"/>
          <w:sz w:val="23"/>
          <w:szCs w:val="23"/>
          <w:lang w:eastAsia="en-GB"/>
        </w:rPr>
      </w:pPr>
      <w:r>
        <w:rPr>
          <w:rFonts w:ascii="Helvetica" w:eastAsia="Times New Roman" w:hAnsi="Helvetica" w:cs="Helvetica"/>
          <w:color w:val="555555"/>
          <w:sz w:val="23"/>
          <w:szCs w:val="23"/>
          <w:lang w:eastAsia="en-GB"/>
        </w:rPr>
        <w:br w:type="textWrapping" w:clear="all"/>
      </w:r>
    </w:p>
    <w:p w14:paraId="2386AE4C" w14:textId="77777777" w:rsidR="00FE651B" w:rsidRPr="00FE651B" w:rsidRDefault="00FE651B" w:rsidP="00FE651B">
      <w:pPr>
        <w:spacing w:after="288" w:line="360" w:lineRule="atLeast"/>
        <w:textAlignment w:val="baseline"/>
        <w:rPr>
          <w:rFonts w:ascii="Helvetica" w:eastAsia="Times New Roman" w:hAnsi="Helvetica" w:cs="Helvetica"/>
          <w:color w:val="555555"/>
          <w:sz w:val="23"/>
          <w:szCs w:val="23"/>
          <w:lang w:eastAsia="en-GB"/>
        </w:rPr>
      </w:pPr>
      <w:r w:rsidRPr="00FE651B">
        <w:rPr>
          <w:rFonts w:ascii="Helvetica" w:eastAsia="Times New Roman" w:hAnsi="Helvetica" w:cs="Helvetica"/>
          <w:color w:val="555555"/>
          <w:sz w:val="23"/>
          <w:szCs w:val="23"/>
          <w:lang w:eastAsia="en-GB"/>
        </w:rPr>
        <w:t> </w:t>
      </w:r>
    </w:p>
    <w:p w14:paraId="00D95A47" w14:textId="77777777" w:rsidR="00FE651B" w:rsidRPr="00FE651B" w:rsidRDefault="00FE651B" w:rsidP="00FE651B">
      <w:pPr>
        <w:spacing w:after="0" w:line="360" w:lineRule="atLeast"/>
        <w:textAlignment w:val="baseline"/>
        <w:rPr>
          <w:rFonts w:ascii="Helvetica" w:eastAsia="Times New Roman" w:hAnsi="Helvetica" w:cs="Helvetica"/>
          <w:color w:val="555555"/>
          <w:sz w:val="23"/>
          <w:szCs w:val="23"/>
          <w:lang w:eastAsia="en-GB"/>
        </w:rPr>
      </w:pPr>
      <w:r w:rsidRPr="00FE651B">
        <w:rPr>
          <w:rFonts w:ascii="Helvetica" w:eastAsia="Times New Roman" w:hAnsi="Helvetica" w:cs="Helvetica"/>
          <w:b/>
          <w:bCs/>
          <w:color w:val="555555"/>
          <w:sz w:val="23"/>
          <w:szCs w:val="23"/>
          <w:bdr w:val="none" w:sz="0" w:space="0" w:color="auto" w:frame="1"/>
          <w:lang w:eastAsia="en-GB"/>
        </w:rPr>
        <w:t>The Core Curriculum with Options (or Special Study Modules)</w:t>
      </w:r>
    </w:p>
    <w:p w14:paraId="2D68FFE7" w14:textId="77777777" w:rsidR="00FE651B" w:rsidRPr="00FE651B" w:rsidRDefault="00FE651B" w:rsidP="00FE651B">
      <w:pPr>
        <w:spacing w:after="288" w:line="360" w:lineRule="atLeast"/>
        <w:textAlignment w:val="baseline"/>
        <w:rPr>
          <w:rFonts w:ascii="Helvetica" w:eastAsia="Times New Roman" w:hAnsi="Helvetica" w:cs="Helvetica"/>
          <w:color w:val="555555"/>
          <w:sz w:val="23"/>
          <w:szCs w:val="23"/>
          <w:lang w:eastAsia="en-GB"/>
        </w:rPr>
      </w:pPr>
      <w:r w:rsidRPr="00FE651B">
        <w:rPr>
          <w:rFonts w:ascii="Helvetica" w:eastAsia="Times New Roman" w:hAnsi="Helvetica" w:cs="Helvetica"/>
          <w:color w:val="555555"/>
          <w:sz w:val="23"/>
          <w:szCs w:val="23"/>
          <w:lang w:eastAsia="en-GB"/>
        </w:rPr>
        <w:t> </w:t>
      </w:r>
    </w:p>
    <w:p w14:paraId="302E1DE8" w14:textId="77777777" w:rsidR="00FE651B" w:rsidRPr="00FE651B" w:rsidRDefault="00FE651B" w:rsidP="00FE651B">
      <w:pPr>
        <w:spacing w:after="288" w:line="360" w:lineRule="atLeast"/>
        <w:textAlignment w:val="baseline"/>
        <w:rPr>
          <w:rFonts w:ascii="Helvetica" w:eastAsia="Times New Roman" w:hAnsi="Helvetica" w:cs="Helvetica"/>
          <w:color w:val="555555"/>
          <w:sz w:val="23"/>
          <w:szCs w:val="23"/>
          <w:lang w:eastAsia="en-GB"/>
        </w:rPr>
      </w:pPr>
      <w:r w:rsidRPr="00FE651B">
        <w:rPr>
          <w:rFonts w:ascii="Helvetica" w:eastAsia="Times New Roman" w:hAnsi="Helvetica" w:cs="Helvetica"/>
          <w:color w:val="555555"/>
          <w:sz w:val="23"/>
          <w:szCs w:val="23"/>
          <w:lang w:eastAsia="en-GB"/>
        </w:rPr>
        <w:t>This is an answer to the problem of information overload. A curriculum cannot include all the possible knowledge, skills, and attitudes of a subject, there is never enough time.</w:t>
      </w:r>
    </w:p>
    <w:p w14:paraId="743E1C37" w14:textId="77777777" w:rsidR="00FE651B" w:rsidRPr="00FE651B" w:rsidRDefault="00FE651B" w:rsidP="00FE651B">
      <w:pPr>
        <w:spacing w:after="288" w:line="360" w:lineRule="atLeast"/>
        <w:textAlignment w:val="baseline"/>
        <w:rPr>
          <w:rFonts w:ascii="Helvetica" w:eastAsia="Times New Roman" w:hAnsi="Helvetica" w:cs="Helvetica"/>
          <w:color w:val="555555"/>
          <w:sz w:val="23"/>
          <w:szCs w:val="23"/>
          <w:lang w:eastAsia="en-GB"/>
        </w:rPr>
      </w:pPr>
      <w:r w:rsidRPr="00FE651B">
        <w:rPr>
          <w:rFonts w:ascii="Helvetica" w:eastAsia="Times New Roman" w:hAnsi="Helvetica" w:cs="Helvetica"/>
          <w:color w:val="555555"/>
          <w:sz w:val="23"/>
          <w:szCs w:val="23"/>
          <w:lang w:eastAsia="en-GB"/>
        </w:rPr>
        <w:t>A core curriculum of essentials is identified, ideally by a combination of stakeholders (in medicine, this could include clinicians, medical teachers, those with a research interest, students, government, and patients). Space is left in the timetable to also study in more depth one or more areas. These topics could be part of the core curriculum, or they could be completely unrelated.</w:t>
      </w:r>
    </w:p>
    <w:p w14:paraId="0DCD64C1" w14:textId="77777777" w:rsidR="00FE651B" w:rsidRPr="00FE651B" w:rsidRDefault="00FE651B" w:rsidP="00FE651B">
      <w:pPr>
        <w:spacing w:after="288" w:line="360" w:lineRule="atLeast"/>
        <w:textAlignment w:val="baseline"/>
        <w:rPr>
          <w:rFonts w:ascii="Helvetica" w:eastAsia="Times New Roman" w:hAnsi="Helvetica" w:cs="Helvetica"/>
          <w:color w:val="555555"/>
          <w:sz w:val="23"/>
          <w:szCs w:val="23"/>
          <w:lang w:eastAsia="en-GB"/>
        </w:rPr>
      </w:pPr>
      <w:r w:rsidRPr="00FE651B">
        <w:rPr>
          <w:rFonts w:ascii="Helvetica" w:eastAsia="Times New Roman" w:hAnsi="Helvetica" w:cs="Helvetica"/>
          <w:color w:val="555555"/>
          <w:sz w:val="23"/>
          <w:szCs w:val="23"/>
          <w:lang w:eastAsia="en-GB"/>
        </w:rPr>
        <w:t>Reference to this new way of thinking about the curriculum can be found in the GMC’s document “Tomorrow’s Doctors: Recommendations on Undergraduate Medical Education” (1993).</w:t>
      </w:r>
    </w:p>
    <w:p w14:paraId="1B9EF83D" w14:textId="77777777" w:rsidR="00FE651B" w:rsidRPr="00FE651B" w:rsidRDefault="00FE651B" w:rsidP="00FE651B">
      <w:pPr>
        <w:spacing w:after="288" w:line="360" w:lineRule="atLeast"/>
        <w:textAlignment w:val="baseline"/>
        <w:rPr>
          <w:rFonts w:ascii="Helvetica" w:eastAsia="Times New Roman" w:hAnsi="Helvetica" w:cs="Helvetica"/>
          <w:color w:val="555555"/>
          <w:sz w:val="23"/>
          <w:szCs w:val="23"/>
          <w:lang w:eastAsia="en-GB"/>
        </w:rPr>
      </w:pPr>
      <w:r w:rsidRPr="00FE651B">
        <w:rPr>
          <w:rFonts w:ascii="Helvetica" w:eastAsia="Times New Roman" w:hAnsi="Helvetica" w:cs="Helvetica"/>
          <w:color w:val="555555"/>
          <w:sz w:val="23"/>
          <w:szCs w:val="23"/>
          <w:lang w:eastAsia="en-GB"/>
        </w:rPr>
        <w:lastRenderedPageBreak/>
        <w:t>However, the philosophy behind a core curriculum is not only a way of cutting out “less important” study areas. There are 7 principles which have been identified to support this approach (the 6 C’s):</w:t>
      </w:r>
    </w:p>
    <w:p w14:paraId="3CA5F182" w14:textId="77777777" w:rsidR="00FE651B" w:rsidRPr="00FE651B" w:rsidRDefault="00FE651B" w:rsidP="00FE651B">
      <w:pPr>
        <w:spacing w:after="288" w:line="360" w:lineRule="atLeast"/>
        <w:textAlignment w:val="baseline"/>
        <w:rPr>
          <w:rFonts w:ascii="Helvetica" w:eastAsia="Times New Roman" w:hAnsi="Helvetica" w:cs="Helvetica"/>
          <w:color w:val="555555"/>
          <w:sz w:val="23"/>
          <w:szCs w:val="23"/>
          <w:lang w:eastAsia="en-GB"/>
        </w:rPr>
      </w:pPr>
      <w:r w:rsidRPr="00FE651B">
        <w:rPr>
          <w:rFonts w:ascii="Helvetica" w:eastAsia="Times New Roman" w:hAnsi="Helvetica" w:cs="Helvetica"/>
          <w:color w:val="555555"/>
          <w:sz w:val="23"/>
          <w:szCs w:val="23"/>
          <w:lang w:eastAsia="en-GB"/>
        </w:rPr>
        <w:t> </w:t>
      </w:r>
    </w:p>
    <w:p w14:paraId="452EEEA7" w14:textId="77777777" w:rsidR="00FE651B" w:rsidRPr="00FE651B" w:rsidRDefault="00FE651B" w:rsidP="00FE651B">
      <w:pPr>
        <w:spacing w:after="0" w:line="360" w:lineRule="atLeast"/>
        <w:textAlignment w:val="baseline"/>
        <w:rPr>
          <w:rFonts w:ascii="Helvetica" w:eastAsia="Times New Roman" w:hAnsi="Helvetica" w:cs="Helvetica"/>
          <w:color w:val="555555"/>
          <w:sz w:val="23"/>
          <w:szCs w:val="23"/>
          <w:lang w:eastAsia="en-GB"/>
        </w:rPr>
      </w:pPr>
      <w:r w:rsidRPr="00FE651B">
        <w:rPr>
          <w:rFonts w:ascii="Helvetica" w:eastAsia="Times New Roman" w:hAnsi="Helvetica" w:cs="Helvetica"/>
          <w:b/>
          <w:bCs/>
          <w:color w:val="555555"/>
          <w:sz w:val="23"/>
          <w:szCs w:val="23"/>
          <w:bdr w:val="none" w:sz="0" w:space="0" w:color="auto" w:frame="1"/>
          <w:lang w:eastAsia="en-GB"/>
        </w:rPr>
        <w:t>Certification   </w:t>
      </w:r>
    </w:p>
    <w:p w14:paraId="3486621F" w14:textId="77777777" w:rsidR="00FE651B" w:rsidRPr="00FE651B" w:rsidRDefault="00FE651B" w:rsidP="00FE651B">
      <w:pPr>
        <w:spacing w:after="288" w:line="360" w:lineRule="atLeast"/>
        <w:textAlignment w:val="baseline"/>
        <w:rPr>
          <w:rFonts w:ascii="Helvetica" w:eastAsia="Times New Roman" w:hAnsi="Helvetica" w:cs="Helvetica"/>
          <w:color w:val="555555"/>
          <w:sz w:val="23"/>
          <w:szCs w:val="23"/>
          <w:lang w:eastAsia="en-GB"/>
        </w:rPr>
      </w:pPr>
      <w:r w:rsidRPr="00FE651B">
        <w:rPr>
          <w:rFonts w:ascii="Helvetica" w:eastAsia="Times New Roman" w:hAnsi="Helvetica" w:cs="Helvetica"/>
          <w:color w:val="555555"/>
          <w:sz w:val="23"/>
          <w:szCs w:val="23"/>
          <w:lang w:eastAsia="en-GB"/>
        </w:rPr>
        <w:t>The core curriculum is clearly defined, and mastery of these knowledge, skills, and attitudes results in a certificate of achievement that is recognised by outside agencies</w:t>
      </w:r>
    </w:p>
    <w:p w14:paraId="226F16DB" w14:textId="77777777" w:rsidR="00FE651B" w:rsidRPr="00FE651B" w:rsidRDefault="00FE651B" w:rsidP="00FE651B">
      <w:pPr>
        <w:spacing w:after="288" w:line="360" w:lineRule="atLeast"/>
        <w:textAlignment w:val="baseline"/>
        <w:rPr>
          <w:rFonts w:ascii="Helvetica" w:eastAsia="Times New Roman" w:hAnsi="Helvetica" w:cs="Helvetica"/>
          <w:color w:val="555555"/>
          <w:sz w:val="23"/>
          <w:szCs w:val="23"/>
          <w:lang w:eastAsia="en-GB"/>
        </w:rPr>
      </w:pPr>
      <w:r w:rsidRPr="00FE651B">
        <w:rPr>
          <w:rFonts w:ascii="Helvetica" w:eastAsia="Times New Roman" w:hAnsi="Helvetica" w:cs="Helvetica"/>
          <w:color w:val="555555"/>
          <w:sz w:val="23"/>
          <w:szCs w:val="23"/>
          <w:lang w:eastAsia="en-GB"/>
        </w:rPr>
        <w:t> </w:t>
      </w:r>
    </w:p>
    <w:p w14:paraId="1ACC9000" w14:textId="77777777" w:rsidR="00FE651B" w:rsidRPr="00FE651B" w:rsidRDefault="00FE651B" w:rsidP="00FE651B">
      <w:pPr>
        <w:spacing w:after="0" w:line="360" w:lineRule="atLeast"/>
        <w:textAlignment w:val="baseline"/>
        <w:rPr>
          <w:rFonts w:ascii="Helvetica" w:eastAsia="Times New Roman" w:hAnsi="Helvetica" w:cs="Helvetica"/>
          <w:color w:val="555555"/>
          <w:sz w:val="23"/>
          <w:szCs w:val="23"/>
          <w:lang w:eastAsia="en-GB"/>
        </w:rPr>
      </w:pPr>
      <w:r w:rsidRPr="00FE651B">
        <w:rPr>
          <w:rFonts w:ascii="Helvetica" w:eastAsia="Times New Roman" w:hAnsi="Helvetica" w:cs="Helvetica"/>
          <w:b/>
          <w:bCs/>
          <w:color w:val="555555"/>
          <w:sz w:val="23"/>
          <w:szCs w:val="23"/>
          <w:bdr w:val="none" w:sz="0" w:space="0" w:color="auto" w:frame="1"/>
          <w:lang w:eastAsia="en-GB"/>
        </w:rPr>
        <w:t>Capability</w:t>
      </w:r>
    </w:p>
    <w:p w14:paraId="34BD0B92" w14:textId="77777777" w:rsidR="00FE651B" w:rsidRPr="00FE651B" w:rsidRDefault="00FE651B" w:rsidP="00FE651B">
      <w:pPr>
        <w:spacing w:after="288" w:line="360" w:lineRule="atLeast"/>
        <w:textAlignment w:val="baseline"/>
        <w:rPr>
          <w:rFonts w:ascii="Helvetica" w:eastAsia="Times New Roman" w:hAnsi="Helvetica" w:cs="Helvetica"/>
          <w:color w:val="555555"/>
          <w:sz w:val="23"/>
          <w:szCs w:val="23"/>
          <w:lang w:eastAsia="en-GB"/>
        </w:rPr>
      </w:pPr>
      <w:r w:rsidRPr="00FE651B">
        <w:rPr>
          <w:rFonts w:ascii="Helvetica" w:eastAsia="Times New Roman" w:hAnsi="Helvetica" w:cs="Helvetica"/>
          <w:color w:val="555555"/>
          <w:sz w:val="23"/>
          <w:szCs w:val="23"/>
          <w:lang w:eastAsia="en-GB"/>
        </w:rPr>
        <w:t>The core curriculum links also to the concept of competencies. It provides the answer to the question “What should someone completing this course be capable of?”</w:t>
      </w:r>
    </w:p>
    <w:p w14:paraId="5371A306" w14:textId="77777777" w:rsidR="00FE651B" w:rsidRPr="00FE651B" w:rsidRDefault="00FE651B" w:rsidP="00FE651B">
      <w:pPr>
        <w:spacing w:after="288" w:line="360" w:lineRule="atLeast"/>
        <w:textAlignment w:val="baseline"/>
        <w:rPr>
          <w:rFonts w:ascii="Helvetica" w:eastAsia="Times New Roman" w:hAnsi="Helvetica" w:cs="Helvetica"/>
          <w:color w:val="555555"/>
          <w:sz w:val="23"/>
          <w:szCs w:val="23"/>
          <w:lang w:eastAsia="en-GB"/>
        </w:rPr>
      </w:pPr>
      <w:r w:rsidRPr="00FE651B">
        <w:rPr>
          <w:rFonts w:ascii="Helvetica" w:eastAsia="Times New Roman" w:hAnsi="Helvetica" w:cs="Helvetica"/>
          <w:color w:val="555555"/>
          <w:sz w:val="23"/>
          <w:szCs w:val="23"/>
          <w:lang w:eastAsia="en-GB"/>
        </w:rPr>
        <w:t> </w:t>
      </w:r>
    </w:p>
    <w:p w14:paraId="498805DB" w14:textId="77777777" w:rsidR="00FE651B" w:rsidRPr="00FE651B" w:rsidRDefault="00FE651B" w:rsidP="00FE651B">
      <w:pPr>
        <w:spacing w:after="0" w:line="360" w:lineRule="atLeast"/>
        <w:textAlignment w:val="baseline"/>
        <w:rPr>
          <w:rFonts w:ascii="Helvetica" w:eastAsia="Times New Roman" w:hAnsi="Helvetica" w:cs="Helvetica"/>
          <w:color w:val="555555"/>
          <w:sz w:val="23"/>
          <w:szCs w:val="23"/>
          <w:lang w:eastAsia="en-GB"/>
        </w:rPr>
      </w:pPr>
      <w:r w:rsidRPr="00FE651B">
        <w:rPr>
          <w:rFonts w:ascii="Helvetica" w:eastAsia="Times New Roman" w:hAnsi="Helvetica" w:cs="Helvetica"/>
          <w:b/>
          <w:bCs/>
          <w:color w:val="555555"/>
          <w:sz w:val="23"/>
          <w:szCs w:val="23"/>
          <w:bdr w:val="none" w:sz="0" w:space="0" w:color="auto" w:frame="1"/>
          <w:lang w:eastAsia="en-GB"/>
        </w:rPr>
        <w:t>Comprehensiveness</w:t>
      </w:r>
    </w:p>
    <w:p w14:paraId="025572E3" w14:textId="77777777" w:rsidR="00FE651B" w:rsidRPr="00FE651B" w:rsidRDefault="00FE651B" w:rsidP="00FE651B">
      <w:pPr>
        <w:spacing w:after="288" w:line="360" w:lineRule="atLeast"/>
        <w:textAlignment w:val="baseline"/>
        <w:rPr>
          <w:rFonts w:ascii="Helvetica" w:eastAsia="Times New Roman" w:hAnsi="Helvetica" w:cs="Helvetica"/>
          <w:color w:val="555555"/>
          <w:sz w:val="23"/>
          <w:szCs w:val="23"/>
          <w:lang w:eastAsia="en-GB"/>
        </w:rPr>
      </w:pPr>
      <w:r w:rsidRPr="00FE651B">
        <w:rPr>
          <w:rFonts w:ascii="Helvetica" w:eastAsia="Times New Roman" w:hAnsi="Helvetica" w:cs="Helvetica"/>
          <w:color w:val="555555"/>
          <w:sz w:val="23"/>
          <w:szCs w:val="23"/>
          <w:lang w:eastAsia="en-GB"/>
        </w:rPr>
        <w:t xml:space="preserve">A core curriculum is not negotiable – it </w:t>
      </w:r>
      <w:proofErr w:type="gramStart"/>
      <w:r w:rsidRPr="00FE651B">
        <w:rPr>
          <w:rFonts w:ascii="Helvetica" w:eastAsia="Times New Roman" w:hAnsi="Helvetica" w:cs="Helvetica"/>
          <w:color w:val="555555"/>
          <w:sz w:val="23"/>
          <w:szCs w:val="23"/>
          <w:lang w:eastAsia="en-GB"/>
        </w:rPr>
        <w:t>has to</w:t>
      </w:r>
      <w:proofErr w:type="gramEnd"/>
      <w:r w:rsidRPr="00FE651B">
        <w:rPr>
          <w:rFonts w:ascii="Helvetica" w:eastAsia="Times New Roman" w:hAnsi="Helvetica" w:cs="Helvetica"/>
          <w:color w:val="555555"/>
          <w:sz w:val="23"/>
          <w:szCs w:val="23"/>
          <w:lang w:eastAsia="en-GB"/>
        </w:rPr>
        <w:t xml:space="preserve"> cover the defined essentials.</w:t>
      </w:r>
    </w:p>
    <w:p w14:paraId="23251727" w14:textId="77777777" w:rsidR="00FE651B" w:rsidRPr="00FE651B" w:rsidRDefault="00FE651B" w:rsidP="00FE651B">
      <w:pPr>
        <w:spacing w:after="288" w:line="360" w:lineRule="atLeast"/>
        <w:textAlignment w:val="baseline"/>
        <w:rPr>
          <w:rFonts w:ascii="Helvetica" w:eastAsia="Times New Roman" w:hAnsi="Helvetica" w:cs="Helvetica"/>
          <w:color w:val="555555"/>
          <w:sz w:val="23"/>
          <w:szCs w:val="23"/>
          <w:lang w:eastAsia="en-GB"/>
        </w:rPr>
      </w:pPr>
      <w:r w:rsidRPr="00FE651B">
        <w:rPr>
          <w:rFonts w:ascii="Helvetica" w:eastAsia="Times New Roman" w:hAnsi="Helvetica" w:cs="Helvetica"/>
          <w:color w:val="555555"/>
          <w:sz w:val="23"/>
          <w:szCs w:val="23"/>
          <w:lang w:eastAsia="en-GB"/>
        </w:rPr>
        <w:t> </w:t>
      </w:r>
    </w:p>
    <w:p w14:paraId="60F5FED9" w14:textId="77777777" w:rsidR="00FE651B" w:rsidRPr="00FE651B" w:rsidRDefault="00FE651B" w:rsidP="00FE651B">
      <w:pPr>
        <w:spacing w:after="0" w:line="360" w:lineRule="atLeast"/>
        <w:textAlignment w:val="baseline"/>
        <w:rPr>
          <w:rFonts w:ascii="Helvetica" w:eastAsia="Times New Roman" w:hAnsi="Helvetica" w:cs="Helvetica"/>
          <w:color w:val="555555"/>
          <w:sz w:val="23"/>
          <w:szCs w:val="23"/>
          <w:lang w:eastAsia="en-GB"/>
        </w:rPr>
      </w:pPr>
      <w:r w:rsidRPr="00FE651B">
        <w:rPr>
          <w:rFonts w:ascii="Helvetica" w:eastAsia="Times New Roman" w:hAnsi="Helvetica" w:cs="Helvetica"/>
          <w:b/>
          <w:bCs/>
          <w:color w:val="555555"/>
          <w:sz w:val="23"/>
          <w:szCs w:val="23"/>
          <w:bdr w:val="none" w:sz="0" w:space="0" w:color="auto" w:frame="1"/>
          <w:lang w:eastAsia="en-GB"/>
        </w:rPr>
        <w:t>Consistency</w:t>
      </w:r>
    </w:p>
    <w:p w14:paraId="583EA6D8" w14:textId="77777777" w:rsidR="00FE651B" w:rsidRPr="00FE651B" w:rsidRDefault="00FE651B" w:rsidP="00FE651B">
      <w:pPr>
        <w:spacing w:after="288" w:line="360" w:lineRule="atLeast"/>
        <w:textAlignment w:val="baseline"/>
        <w:rPr>
          <w:rFonts w:ascii="Helvetica" w:eastAsia="Times New Roman" w:hAnsi="Helvetica" w:cs="Helvetica"/>
          <w:color w:val="555555"/>
          <w:sz w:val="23"/>
          <w:szCs w:val="23"/>
          <w:lang w:eastAsia="en-GB"/>
        </w:rPr>
      </w:pPr>
      <w:r w:rsidRPr="00FE651B">
        <w:rPr>
          <w:rFonts w:ascii="Helvetica" w:eastAsia="Times New Roman" w:hAnsi="Helvetica" w:cs="Helvetica"/>
          <w:color w:val="555555"/>
          <w:sz w:val="23"/>
          <w:szCs w:val="23"/>
          <w:lang w:eastAsia="en-GB"/>
        </w:rPr>
        <w:t>Wherever a core curriculum is in place, it can be expected to cover the same content.</w:t>
      </w:r>
    </w:p>
    <w:p w14:paraId="76938867" w14:textId="77777777" w:rsidR="00FE651B" w:rsidRPr="00FE651B" w:rsidRDefault="00FE651B" w:rsidP="00FE651B">
      <w:pPr>
        <w:spacing w:after="288" w:line="360" w:lineRule="atLeast"/>
        <w:textAlignment w:val="baseline"/>
        <w:rPr>
          <w:rFonts w:ascii="Helvetica" w:eastAsia="Times New Roman" w:hAnsi="Helvetica" w:cs="Helvetica"/>
          <w:color w:val="555555"/>
          <w:sz w:val="23"/>
          <w:szCs w:val="23"/>
          <w:lang w:eastAsia="en-GB"/>
        </w:rPr>
      </w:pPr>
      <w:r w:rsidRPr="00FE651B">
        <w:rPr>
          <w:rFonts w:ascii="Helvetica" w:eastAsia="Times New Roman" w:hAnsi="Helvetica" w:cs="Helvetica"/>
          <w:color w:val="555555"/>
          <w:sz w:val="23"/>
          <w:szCs w:val="23"/>
          <w:lang w:eastAsia="en-GB"/>
        </w:rPr>
        <w:t> </w:t>
      </w:r>
    </w:p>
    <w:p w14:paraId="14E4D2C1" w14:textId="77777777" w:rsidR="00FE651B" w:rsidRPr="00FE651B" w:rsidRDefault="00FE651B" w:rsidP="00FE651B">
      <w:pPr>
        <w:spacing w:after="0" w:line="360" w:lineRule="atLeast"/>
        <w:textAlignment w:val="baseline"/>
        <w:rPr>
          <w:rFonts w:ascii="Helvetica" w:eastAsia="Times New Roman" w:hAnsi="Helvetica" w:cs="Helvetica"/>
          <w:color w:val="555555"/>
          <w:sz w:val="23"/>
          <w:szCs w:val="23"/>
          <w:lang w:eastAsia="en-GB"/>
        </w:rPr>
      </w:pPr>
      <w:r w:rsidRPr="00FE651B">
        <w:rPr>
          <w:rFonts w:ascii="Helvetica" w:eastAsia="Times New Roman" w:hAnsi="Helvetica" w:cs="Helvetica"/>
          <w:b/>
          <w:bCs/>
          <w:color w:val="555555"/>
          <w:sz w:val="23"/>
          <w:szCs w:val="23"/>
          <w:bdr w:val="none" w:sz="0" w:space="0" w:color="auto" w:frame="1"/>
          <w:lang w:eastAsia="en-GB"/>
        </w:rPr>
        <w:t>Constructivism</w:t>
      </w:r>
    </w:p>
    <w:p w14:paraId="2975E8FE" w14:textId="77777777" w:rsidR="00FE651B" w:rsidRPr="00FE651B" w:rsidRDefault="00FE651B" w:rsidP="00FE651B">
      <w:pPr>
        <w:spacing w:after="288" w:line="360" w:lineRule="atLeast"/>
        <w:textAlignment w:val="baseline"/>
        <w:rPr>
          <w:rFonts w:ascii="Helvetica" w:eastAsia="Times New Roman" w:hAnsi="Helvetica" w:cs="Helvetica"/>
          <w:color w:val="555555"/>
          <w:sz w:val="23"/>
          <w:szCs w:val="23"/>
          <w:lang w:eastAsia="en-GB"/>
        </w:rPr>
      </w:pPr>
      <w:r w:rsidRPr="00FE651B">
        <w:rPr>
          <w:rFonts w:ascii="Helvetica" w:eastAsia="Times New Roman" w:hAnsi="Helvetica" w:cs="Helvetica"/>
          <w:color w:val="555555"/>
          <w:sz w:val="23"/>
          <w:szCs w:val="23"/>
          <w:lang w:eastAsia="en-GB"/>
        </w:rPr>
        <w:t xml:space="preserve">“Knowledge builds on knowledge”. The core curriculum, because it is co-ordinated, allows for a coherent approach to creating knowledge, skills and attitudes. What was learned in year 1 will be built on in year </w:t>
      </w:r>
      <w:proofErr w:type="gramStart"/>
      <w:r w:rsidRPr="00FE651B">
        <w:rPr>
          <w:rFonts w:ascii="Helvetica" w:eastAsia="Times New Roman" w:hAnsi="Helvetica" w:cs="Helvetica"/>
          <w:color w:val="555555"/>
          <w:sz w:val="23"/>
          <w:szCs w:val="23"/>
          <w:lang w:eastAsia="en-GB"/>
        </w:rPr>
        <w:t>2, and</w:t>
      </w:r>
      <w:proofErr w:type="gramEnd"/>
      <w:r w:rsidRPr="00FE651B">
        <w:rPr>
          <w:rFonts w:ascii="Helvetica" w:eastAsia="Times New Roman" w:hAnsi="Helvetica" w:cs="Helvetica"/>
          <w:color w:val="555555"/>
          <w:sz w:val="23"/>
          <w:szCs w:val="23"/>
          <w:lang w:eastAsia="en-GB"/>
        </w:rPr>
        <w:t xml:space="preserve"> provides the foundation for the learning of year 3, and so on.</w:t>
      </w:r>
    </w:p>
    <w:p w14:paraId="2B781890" w14:textId="77777777" w:rsidR="00FE651B" w:rsidRPr="00FE651B" w:rsidRDefault="00FE651B" w:rsidP="00FE651B">
      <w:pPr>
        <w:spacing w:after="288" w:line="360" w:lineRule="atLeast"/>
        <w:textAlignment w:val="baseline"/>
        <w:rPr>
          <w:rFonts w:ascii="Helvetica" w:eastAsia="Times New Roman" w:hAnsi="Helvetica" w:cs="Helvetica"/>
          <w:color w:val="555555"/>
          <w:sz w:val="23"/>
          <w:szCs w:val="23"/>
          <w:lang w:eastAsia="en-GB"/>
        </w:rPr>
      </w:pPr>
      <w:r w:rsidRPr="00FE651B">
        <w:rPr>
          <w:rFonts w:ascii="Helvetica" w:eastAsia="Times New Roman" w:hAnsi="Helvetica" w:cs="Helvetica"/>
          <w:color w:val="555555"/>
          <w:sz w:val="23"/>
          <w:szCs w:val="23"/>
          <w:lang w:eastAsia="en-GB"/>
        </w:rPr>
        <w:t> </w:t>
      </w:r>
    </w:p>
    <w:p w14:paraId="3953204F" w14:textId="77777777" w:rsidR="00FE651B" w:rsidRPr="00FE651B" w:rsidRDefault="00FE651B" w:rsidP="00FE651B">
      <w:pPr>
        <w:spacing w:after="0" w:line="360" w:lineRule="atLeast"/>
        <w:textAlignment w:val="baseline"/>
        <w:rPr>
          <w:rFonts w:ascii="Helvetica" w:eastAsia="Times New Roman" w:hAnsi="Helvetica" w:cs="Helvetica"/>
          <w:color w:val="555555"/>
          <w:sz w:val="23"/>
          <w:szCs w:val="23"/>
          <w:lang w:eastAsia="en-GB"/>
        </w:rPr>
      </w:pPr>
      <w:r w:rsidRPr="00FE651B">
        <w:rPr>
          <w:rFonts w:ascii="Helvetica" w:eastAsia="Times New Roman" w:hAnsi="Helvetica" w:cs="Helvetica"/>
          <w:b/>
          <w:bCs/>
          <w:color w:val="555555"/>
          <w:sz w:val="23"/>
          <w:szCs w:val="23"/>
          <w:bdr w:val="none" w:sz="0" w:space="0" w:color="auto" w:frame="1"/>
          <w:lang w:eastAsia="en-GB"/>
        </w:rPr>
        <w:t>Choice</w:t>
      </w:r>
    </w:p>
    <w:p w14:paraId="450B41ED" w14:textId="77777777" w:rsidR="00FE651B" w:rsidRPr="00FE651B" w:rsidRDefault="00FE651B" w:rsidP="00FE651B">
      <w:pPr>
        <w:spacing w:after="288" w:line="360" w:lineRule="atLeast"/>
        <w:textAlignment w:val="baseline"/>
        <w:rPr>
          <w:rFonts w:ascii="Helvetica" w:eastAsia="Times New Roman" w:hAnsi="Helvetica" w:cs="Helvetica"/>
          <w:color w:val="555555"/>
          <w:sz w:val="23"/>
          <w:szCs w:val="23"/>
          <w:lang w:eastAsia="en-GB"/>
        </w:rPr>
      </w:pPr>
      <w:r w:rsidRPr="00FE651B">
        <w:rPr>
          <w:rFonts w:ascii="Helvetica" w:eastAsia="Times New Roman" w:hAnsi="Helvetica" w:cs="Helvetica"/>
          <w:color w:val="555555"/>
          <w:sz w:val="23"/>
          <w:szCs w:val="23"/>
          <w:lang w:eastAsia="en-GB"/>
        </w:rPr>
        <w:t>The uniformity of the core curriculum could seem to limit choice – and this is the reason for the optional modules. The GMC recommended that the core should not occupy more than 2/3 of the timetable.</w:t>
      </w:r>
    </w:p>
    <w:p w14:paraId="5BED0906" w14:textId="77777777" w:rsidR="00FE651B" w:rsidRPr="00FE651B" w:rsidRDefault="00FE651B" w:rsidP="00FE651B">
      <w:pPr>
        <w:spacing w:after="288" w:line="360" w:lineRule="atLeast"/>
        <w:textAlignment w:val="baseline"/>
        <w:rPr>
          <w:rFonts w:ascii="Helvetica" w:eastAsia="Times New Roman" w:hAnsi="Helvetica" w:cs="Helvetica"/>
          <w:color w:val="555555"/>
          <w:sz w:val="23"/>
          <w:szCs w:val="23"/>
          <w:lang w:eastAsia="en-GB"/>
        </w:rPr>
      </w:pPr>
      <w:r w:rsidRPr="00FE651B">
        <w:rPr>
          <w:rFonts w:ascii="Helvetica" w:eastAsia="Times New Roman" w:hAnsi="Helvetica" w:cs="Helvetica"/>
          <w:color w:val="555555"/>
          <w:sz w:val="23"/>
          <w:szCs w:val="23"/>
          <w:lang w:eastAsia="en-GB"/>
        </w:rPr>
        <w:lastRenderedPageBreak/>
        <w:t> </w:t>
      </w:r>
    </w:p>
    <w:p w14:paraId="2F80028C" w14:textId="77777777" w:rsidR="00FE651B" w:rsidRPr="00FE651B" w:rsidRDefault="00FE651B" w:rsidP="00FE651B">
      <w:pPr>
        <w:spacing w:after="288" w:line="360" w:lineRule="atLeast"/>
        <w:textAlignment w:val="baseline"/>
        <w:rPr>
          <w:rFonts w:ascii="Helvetica" w:eastAsia="Times New Roman" w:hAnsi="Helvetica" w:cs="Helvetica"/>
          <w:color w:val="555555"/>
          <w:sz w:val="23"/>
          <w:szCs w:val="23"/>
          <w:lang w:eastAsia="en-GB"/>
        </w:rPr>
      </w:pPr>
      <w:r w:rsidRPr="00FE651B">
        <w:rPr>
          <w:rFonts w:ascii="Helvetica" w:eastAsia="Times New Roman" w:hAnsi="Helvetica" w:cs="Helvetica"/>
          <w:color w:val="555555"/>
          <w:sz w:val="23"/>
          <w:szCs w:val="23"/>
          <w:lang w:eastAsia="en-GB"/>
        </w:rPr>
        <w:t>Reference:</w:t>
      </w:r>
    </w:p>
    <w:p w14:paraId="5CEE86C1" w14:textId="77777777" w:rsidR="00FE651B" w:rsidRPr="00FE651B" w:rsidRDefault="00FE651B" w:rsidP="00FE651B">
      <w:pPr>
        <w:spacing w:after="288" w:line="360" w:lineRule="atLeast"/>
        <w:textAlignment w:val="baseline"/>
        <w:rPr>
          <w:rFonts w:ascii="Helvetica" w:eastAsia="Times New Roman" w:hAnsi="Helvetica" w:cs="Helvetica"/>
          <w:color w:val="555555"/>
          <w:sz w:val="23"/>
          <w:szCs w:val="23"/>
          <w:lang w:eastAsia="en-GB"/>
        </w:rPr>
      </w:pPr>
      <w:r w:rsidRPr="00FE651B">
        <w:rPr>
          <w:rFonts w:ascii="Helvetica" w:eastAsia="Times New Roman" w:hAnsi="Helvetica" w:cs="Helvetica"/>
          <w:color w:val="555555"/>
          <w:sz w:val="23"/>
          <w:szCs w:val="23"/>
          <w:lang w:eastAsia="en-GB"/>
        </w:rPr>
        <w:t>AMEE Education Guide No. 5</w:t>
      </w:r>
    </w:p>
    <w:p w14:paraId="45B48868" w14:textId="77777777" w:rsidR="00FE651B" w:rsidRPr="00FE651B" w:rsidRDefault="00FE651B" w:rsidP="00FE651B">
      <w:pPr>
        <w:spacing w:after="288" w:line="360" w:lineRule="atLeast"/>
        <w:textAlignment w:val="baseline"/>
        <w:rPr>
          <w:rFonts w:ascii="Helvetica" w:eastAsia="Times New Roman" w:hAnsi="Helvetica" w:cs="Helvetica"/>
          <w:color w:val="555555"/>
          <w:sz w:val="23"/>
          <w:szCs w:val="23"/>
          <w:lang w:eastAsia="en-GB"/>
        </w:rPr>
      </w:pPr>
      <w:r w:rsidRPr="00FE651B">
        <w:rPr>
          <w:rFonts w:ascii="Helvetica" w:eastAsia="Times New Roman" w:hAnsi="Helvetica" w:cs="Helvetica"/>
          <w:color w:val="555555"/>
          <w:sz w:val="23"/>
          <w:szCs w:val="23"/>
          <w:lang w:eastAsia="en-GB"/>
        </w:rPr>
        <w:t>The Core Curriculum with Options or Special Study Modules</w:t>
      </w:r>
    </w:p>
    <w:p w14:paraId="39E1E602" w14:textId="77777777" w:rsidR="00FE651B" w:rsidRPr="00FE651B" w:rsidRDefault="00FE651B" w:rsidP="00FE651B">
      <w:pPr>
        <w:spacing w:after="288" w:line="360" w:lineRule="atLeast"/>
        <w:textAlignment w:val="baseline"/>
        <w:rPr>
          <w:rFonts w:ascii="Helvetica" w:eastAsia="Times New Roman" w:hAnsi="Helvetica" w:cs="Helvetica"/>
          <w:color w:val="555555"/>
          <w:sz w:val="23"/>
          <w:szCs w:val="23"/>
          <w:lang w:eastAsia="en-GB"/>
        </w:rPr>
      </w:pPr>
      <w:r w:rsidRPr="00FE651B">
        <w:rPr>
          <w:rFonts w:ascii="Helvetica" w:eastAsia="Times New Roman" w:hAnsi="Helvetica" w:cs="Helvetica"/>
          <w:color w:val="555555"/>
          <w:sz w:val="23"/>
          <w:szCs w:val="23"/>
          <w:lang w:eastAsia="en-GB"/>
        </w:rPr>
        <w:t>RM Harden and M Davis (1995)</w:t>
      </w:r>
    </w:p>
    <w:p w14:paraId="2A41A79B" w14:textId="77777777" w:rsidR="003359E4" w:rsidRDefault="003359E4"/>
    <w:sectPr w:rsidR="003359E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651B"/>
    <w:rsid w:val="003359E4"/>
    <w:rsid w:val="00FE65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F7A31A"/>
  <w15:chartTrackingRefBased/>
  <w15:docId w15:val="{0C4E34B5-1CD8-47C0-8F7F-B6B3134CD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FE651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651B"/>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FE651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FE651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9915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331</Words>
  <Characters>1887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2018-10-17T07:43:00Z</dcterms:created>
  <dcterms:modified xsi:type="dcterms:W3CDTF">2018-10-17T07:46:00Z</dcterms:modified>
</cp:coreProperties>
</file>